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a82a649b1094b2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49544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"Mali svijet"</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3.420.242,21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4.498.538,99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3.468.606,89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4.303.097,91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195.441,08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158.100,39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266.279,25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158.100,39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266.279,25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168,4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206.465,07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70.838,17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34,3</w:t>
            </w:r>
          </w:p>
        </w:tc>
      </w:tr>
    </w:tbl>
    <w:p>
      <w:pPr>
        <w:spacing w:before="0" w:after="0"/>
      </w:pPr>
    </w:p>
    <w:p>
      <w:r>
        <w:t xml:space="preserve">Dječji vrtić Mali svijet je u razdoblju od 01. siječnja 2025. do 31. prosinca 2025. ostvario ukupan prihod poslovanja u iznosu od 4.498.538,99 eura (prihodi iz državnog proračuna 34.669,50 eura, prihodi iz županijskog proračuna 1.000,00 eura, prihodi iz općinskih proračuna 16.614,30 eura, sufinanciranja cijene usluge 440.861,26 eura, prihodi od pruženih usluga 83.351,70 eura, prihodi iz nadležnog proračuna 3.896.003,23 eura, ostali prihodi 1.871,00 eura, donacije 10.000,00 eura, prihodi od naknada šteta s osnova osiguranja 14.168,00 eura), rashode poslovanja u iznosu od 4.303.097,91 eura (rashodi za zaposlene 3.476.004,19 eura, materijalni rashodi 827.082,15 eura, financijski rashodi 11,57 eura) te rashode za nabavu nefinancijske imovine u iznosu od 266.279,25 eura (rashodi za nabavu proizvedene dugotrajne imovine 214.571,25 eura, rashodi za dodatna ulaganja na nefinancijskoj imovini 51.708,00 eura).  Manjak prihoda i primitaka iznosi 70.838,17 eura, preneseni manjak prihoda i primitaka iz 2024. godine iznosi 198.212,82 eura. Manjak prihoda i primitaka za pokriće u idućem razdoblju iznosi 269.050,99 eura. Manjak prihoda i primitaka odnosi se na metodološki manjak, koji će se pokriti isplatom plaće za prosinac 2025. u siječnju 2026.</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11.770,13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78,9</w:t>
            </w:r>
          </w:p>
        </w:tc>
      </w:tr>
    </w:tbl>
    <w:p>
      <w:pPr>
        <w:spacing w:before="0" w:after="0"/>
      </w:pPr>
    </w:p>
    <w:p>
      <w:r>
        <w:t xml:space="preserve">Ostvarenje za 20% manje u odnosu na prethodno razdoblje, kao odraz utroška većeg dijela pomoći iz državnog proračuna (za darovitu djecu, djecu manjine, djecu s teškoćama u integraciji i predškolu) na nabavu nefinancijske imovine.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75.385,66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83.351,70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w:t>
            </w:r>
          </w:p>
        </w:tc>
      </w:tr>
    </w:tbl>
    <w:p>
      <w:pPr>
        <w:spacing w:before="0" w:after="0"/>
      </w:pPr>
    </w:p>
    <w:p>
      <w:r>
        <w:t xml:space="preserve">Prihodi od pruženih usluga veći su za 11% u odnosu na 2024. Dječji vrtić Mali svijet kuha za privatne vrtiće. U ožujku 2024. godine povećana je cijena obroka sa 2,12 eura na 2,70 eura, te je povrh toga u 2025. isporučeno više obroka.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w:t>
            </w:r>
          </w:p>
        </w:tc>
      </w:tr>
    </w:tbl>
    <w:p>
      <w:pPr>
        <w:spacing w:before="0" w:after="0"/>
      </w:pPr>
    </w:p>
    <w:p>
      <w:r>
        <w:t xml:space="preserve">Iznos se odnosi na donaciju osiguravajućeg društva Adriatic osiguranje d.d. u iznosu od 10.000,00 eura, što predstavlja višestruko veće ostvarenje u odnosu na 2024.</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2.680.994,78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3.648.157,51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136,1</w:t>
            </w:r>
          </w:p>
        </w:tc>
      </w:tr>
    </w:tbl>
    <w:p>
      <w:pPr>
        <w:spacing w:before="0" w:after="0"/>
      </w:pPr>
    </w:p>
    <w:p>
      <w:r>
        <w:t xml:space="preserve">Povećanje od 36% zbog povećanja osnovice za obračun plaće najprije s 774,74 eura na 947,18 eura u rujnu 2024. te na 1.004,87 eura od 1. rujna 2025. Dodatno, uz povećanje sredstava za režijske troškove zbog porasta opće razine cijena, od osnivača su osigurana sredstva za tekuće i investicijsko održavanje novih objekata kao i sredstva za najam istih te je povećan broj djece koja imaju pravo na socijalni program.</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141.144,11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247.845,72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175,6</w:t>
            </w:r>
          </w:p>
        </w:tc>
      </w:tr>
    </w:tbl>
    <w:p>
      <w:pPr>
        <w:spacing w:before="0" w:after="0"/>
      </w:pPr>
    </w:p>
    <w:p>
      <w:r>
        <w:t xml:space="preserve">Za 75% veće ostvarenje u odnosu na prethodno razdoblje kao odraz osiguranih sredstava za nabavu namještaja, računala i računalne opreme, perilice posuđa, ljuštilice krumpira, kosilice, klima uređaja, sustava videonadzora i dostavnog vozila.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2.895.516,02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3.476.004,19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w:t>
            </w:r>
          </w:p>
        </w:tc>
      </w:tr>
    </w:tbl>
    <w:p>
      <w:pPr>
        <w:spacing w:before="0" w:after="0"/>
      </w:pPr>
    </w:p>
    <w:p>
      <w:r>
        <w:t xml:space="preserve">Povećanje od 36% zbog povećanja osnovice za obračun plaće najprije s 774,74 eura na 947,18 eura u rujnu 2024. te na 1.004,87 eura od 1. rujna 2025., korekcije koeficijenata složenosti poslova te povećanja broja zaposlenih sa 133 na 138.</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w:t>
            </w:r>
          </w:p>
        </w:tc>
      </w:tr>
    </w:tbl>
    <w:p>
      <w:pPr>
        <w:spacing w:before="0" w:after="0"/>
      </w:pPr>
    </w:p>
    <w:p>
      <w:r>
        <w:t xml:space="preserve">Službena putovanja veća za 17% kao odraz odlaska radnika na stručna usavršavanja u većem obujmu u odnosu na prethodno razdoblje.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7.660,67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8.920,48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116,4</w:t>
            </w:r>
          </w:p>
        </w:tc>
      </w:tr>
    </w:tbl>
    <w:p>
      <w:pPr>
        <w:spacing w:before="0" w:after="0"/>
      </w:pPr>
    </w:p>
    <w:p>
      <w:r>
        <w:t xml:space="preserve">Povećanje od 16%, što odgovara postotku povećanja stavke službenih putovanja, a odnosi se na kotizacije za usavršavanja radnika ustanove.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32.328,23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36.180,34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w:t>
            </w:r>
          </w:p>
        </w:tc>
      </w:tr>
    </w:tbl>
    <w:p>
      <w:pPr>
        <w:spacing w:before="0" w:after="0"/>
      </w:pPr>
    </w:p>
    <w:p>
      <w:r>
        <w:t xml:space="preserve">Povećanje od 12% odnosi se gotovo u cijelosti na povećanu nabavu materijala za čišćenje zbog otvaranja novih skupina.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172.260,36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195.778,02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113,7</w:t>
            </w:r>
          </w:p>
        </w:tc>
      </w:tr>
    </w:tbl>
    <w:p>
      <w:pPr>
        <w:spacing w:before="0" w:after="0"/>
      </w:pPr>
    </w:p>
    <w:p>
      <w:r>
        <w:t xml:space="preserve">Za 14% veće ostvarenje zbog porasta razine cijena i većeg broja obroka u odnosu na prethodno izvještajno razdoblje.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54.058,73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68.969,87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w:t>
            </w:r>
          </w:p>
        </w:tc>
      </w:tr>
    </w:tbl>
    <w:p>
      <w:pPr>
        <w:spacing w:before="0" w:after="0"/>
      </w:pPr>
    </w:p>
    <w:p>
      <w:r>
        <w:t xml:space="preserve">Povećanje od 28% zbog povećanja cijene električne energije te nabave veće količine lož ulja u odnosu na prethodnu godinu.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10.827,47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w:t>
            </w:r>
          </w:p>
        </w:tc>
      </w:tr>
    </w:tbl>
    <w:p>
      <w:pPr>
        <w:spacing w:before="0" w:after="0"/>
      </w:pPr>
    </w:p>
    <w:p>
      <w:r>
        <w:t xml:space="preserve">Bilježe kontinuirani rast (18% u izvještajnom razdoblju) zbog dotrajalosti objekata i opreme.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14.479,73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w:t>
            </w:r>
          </w:p>
        </w:tc>
      </w:tr>
    </w:tbl>
    <w:p>
      <w:pPr>
        <w:spacing w:before="0" w:after="0"/>
      </w:pPr>
    </w:p>
    <w:p>
      <w:r>
        <w:t xml:space="preserve">Za 19% manje ostvarenje kao odraz manjih potreba za zamjenu dotrajalih stavki sitnog inventara.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4.119,97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131,6</w:t>
            </w:r>
          </w:p>
        </w:tc>
      </w:tr>
    </w:tbl>
    <w:p>
      <w:pPr>
        <w:spacing w:before="0" w:after="0"/>
      </w:pPr>
    </w:p>
    <w:p>
      <w:r>
        <w:t xml:space="preserve">Povećanje od 32% u skladu s nabavom radne i zaštitne odjeće i obuće u skladu s propisima zaštite na radu.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7.656,34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8.765,44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w:t>
            </w:r>
          </w:p>
        </w:tc>
      </w:tr>
    </w:tbl>
    <w:p>
      <w:pPr>
        <w:spacing w:before="0" w:after="0"/>
      </w:pPr>
    </w:p>
    <w:p>
      <w:r>
        <w:t xml:space="preserve">Povećanje od 15% zbog realiziranih usluga prijevoza koje nisu zabilježene u prethodnom razdoblju.</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73.708,26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242.461,01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328,9</w:t>
            </w:r>
          </w:p>
        </w:tc>
      </w:tr>
    </w:tbl>
    <w:p>
      <w:pPr>
        <w:spacing w:before="0" w:after="0"/>
      </w:pPr>
    </w:p>
    <w:p>
      <w:r>
        <w:t xml:space="preserve">Višestruko veće ostvarenje u odnosu na prethodnu godinu ukazuje na osigurana sredstva za tekuće i investicijsko održavanje dotrajalih objekata. Od značajnijih intervencija mogu se navesti sanacija podne obloge u PO Veruda, uređenje pomoćnih prostora i obnova podne obloge PO Monte Zaro te sanacija pojedinih prostorija u drugim područnim objektima.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8.893,71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43.282,71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486,7</w:t>
            </w:r>
          </w:p>
        </w:tc>
      </w:tr>
    </w:tbl>
    <w:p>
      <w:pPr>
        <w:spacing w:before="0" w:after="0"/>
      </w:pPr>
    </w:p>
    <w:p>
      <w:r>
        <w:t xml:space="preserve">Višestruko veće ostvarenje zbog zakupa novih objekata (PO Krijesnice i PO Medvjedići).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w:t>
            </w:r>
          </w:p>
        </w:tc>
      </w:tr>
    </w:tbl>
    <w:p>
      <w:pPr>
        <w:spacing w:before="0" w:after="0"/>
      </w:pPr>
    </w:p>
    <w:p>
      <w:r>
        <w:t xml:space="preserve">Za trećinu manje ostvarenje zbog isplaćenih ugovora o djelu prethodne godine. U izvještajnoj godini nisu zabilježene isplate po toj osnovi.</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1.969,79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w:t>
            </w:r>
          </w:p>
        </w:tc>
      </w:tr>
    </w:tbl>
    <w:p>
      <w:pPr>
        <w:spacing w:before="0" w:after="0"/>
      </w:pPr>
    </w:p>
    <w:p>
      <w:r>
        <w:t xml:space="preserve">Prepolovljeno ostvarenje, zanemarivo u apsolutnom iznosu.</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26.676,91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33.856,22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126,9</w:t>
            </w:r>
          </w:p>
        </w:tc>
      </w:tr>
    </w:tbl>
    <w:p>
      <w:pPr>
        <w:spacing w:before="0" w:after="0"/>
      </w:pPr>
    </w:p>
    <w:p>
      <w:r>
        <w:t xml:space="preserve">Povećanje od 27% kao odraz troškova ispitivanja radne opreme i analize vode za ljudsku potrošnju po objektima.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29.515,67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33.115,43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w:t>
            </w:r>
          </w:p>
        </w:tc>
      </w:tr>
    </w:tbl>
    <w:p>
      <w:pPr>
        <w:spacing w:before="0" w:after="0"/>
      </w:pPr>
    </w:p>
    <w:p>
      <w:r>
        <w:t xml:space="preserve">Povećanje od 12% u odnosu na prethodnu godinu kada, zbog promjene osiguravatelja u 2024., nisu fakturirane premije za siječanj i veljaču.</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18.550,80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22.295,16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w:t>
            </w:r>
          </w:p>
        </w:tc>
      </w:tr>
    </w:tbl>
    <w:p>
      <w:pPr>
        <w:spacing w:before="0" w:after="0"/>
      </w:pPr>
    </w:p>
    <w:p>
      <w:r>
        <w:t xml:space="preserve">Povećanje od 20% odnosi se gotovo u cijelosti na obračunate prihode od sufinanciranja cijene usluge za prosinac 2025.</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57.816,68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97.726,92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169,0</w:t>
            </w:r>
          </w:p>
        </w:tc>
      </w:tr>
    </w:tbl>
    <w:p>
      <w:pPr>
        <w:spacing w:before="0" w:after="0"/>
      </w:pPr>
    </w:p>
    <w:p>
      <w:r>
        <w:t xml:space="preserve">Povećanje od 69% kao odraz osiguranih sredstava osnivača za nabavu uredske opreme i namještaja, prvenstveno za PO Monte Zaro.</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174,3</w:t>
            </w:r>
          </w:p>
        </w:tc>
      </w:tr>
    </w:tbl>
    <w:p>
      <w:pPr>
        <w:spacing w:before="0" w:after="0"/>
      </w:pPr>
    </w:p>
    <w:p>
      <w:r>
        <w:t xml:space="preserve">Povećanje od 74% u odnosu na 2024. zbog nabave klima uređaja za područne objekte.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77.413,08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964,7</w:t>
            </w:r>
          </w:p>
        </w:tc>
      </w:tr>
    </w:tbl>
    <w:p>
      <w:pPr>
        <w:spacing w:before="0" w:after="0"/>
      </w:pPr>
    </w:p>
    <w:p>
      <w:r>
        <w:t xml:space="preserve">Višestruko veće ostvarenje zbog zamjene dotrajale opreme sukladno osiguranim sredstvima. Nabavljeni su perilica suđa i perilica rublja, kuhinjski robot, ljuštilica krumpira, električna nagibna tava te druga kuhinjska oprema.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nabavu dostavnog vozila za potrebe dostave hrane.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odnosu na nabavu računalnog programa za evidentiranje i barkodiranje nefinancijske imovine.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za ostalu nefinancijsku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72.158,63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51.708,00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71,7</w:t>
            </w:r>
          </w:p>
        </w:tc>
      </w:tr>
    </w:tbl>
    <w:p>
      <w:pPr>
        <w:spacing w:before="0" w:after="0"/>
      </w:pPr>
    </w:p>
    <w:p>
      <w:r>
        <w:t xml:space="preserve">Dodatna ulaganja u nefinancijsku imovinu bilježe ostvarenje od 72% u odnosu na prethodno razdoblje. Odnose se na projektnu dokumentacija za PO Medvjediće, sanaciju plamenika u kotlovnici PO Monte Zaro, sanaciju konzola PO Monte Zaro te sanaciju krova PO Veruda.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198.212,82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269.050,99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w:t>
            </w:r>
          </w:p>
        </w:tc>
      </w:tr>
    </w:tbl>
    <w:p>
      <w:pPr>
        <w:spacing w:before="0" w:after="0"/>
      </w:pPr>
    </w:p>
    <w:p>
      <w:r>
        <w:t xml:space="preserve">Manjak prihoda i primitaka za prijenos u 2026. iznosi 269.050,99 eura a nastao je zbog tehnike knjiženja poslovnih promjena prema odredbama Pravilnika o proračunskom računovodstvu i računskom planu. Plaća za prosinac 2025. knjižena je kao rashod na dan 31. prosinca 2025., ali, s obzirom da se isplaćuje na teret izvora općih prihoda i primitaka, prihod je priznat tek 15. siječnja 2026. prilikom isplate iste. Ista predstavlja metodološki manjak iz općih prihoda i primitaka. Stvarni višak raspoloživ u 2026. iznosit će 31.906,57 eura te se sastoji od viška prihoda od pruženih usluga u iznosu od 6.812,33 eura, viška od pomoći iz državnog proračuna u iznosu od 7.081,38 eura, viška prihoda od donacija u iznosu od 10.000,00 eura te viška prihoda od naknada šteta s osnova osiguranja u iznosu od 8.012,86 eura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priljevi na novčane račune i blagajne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w:t>
            </w:r>
          </w:p>
        </w:tc>
      </w:tr>
    </w:tbl>
    <w:p>
      <w:pPr>
        <w:spacing w:before="0" w:after="0"/>
      </w:pPr>
    </w:p>
    <w:p>
      <w:pPr>
        <w:jc w:val="left"/>
      </w:pPr>
      <w:r>
        <w:t xml:space="preserve">Zanemarivo ostvarenje, višestruko manje od prethodnog razdoblja, zbog manjeg obujma gotovinskog poslovanja i ukidanja gotovinske blagajne tijekom 2025.</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odljevi s novčanih računa i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11-potraž.</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w:t>
            </w:r>
          </w:p>
        </w:tc>
      </w:tr>
    </w:tbl>
    <w:p>
      <w:pPr>
        <w:spacing w:before="0" w:after="0"/>
      </w:pPr>
    </w:p>
    <w:p>
      <w:r>
        <w:t xml:space="preserve">Zanemarivo ostvarenje, višestruko manje od prethodnog razdoblja, zbog manjeg obujma gotovinskog poslovanja i ukidanja gotovinske blagajne tijekom 2025.</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1.431.092,70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1.626.152,42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w:t>
            </w:r>
          </w:p>
        </w:tc>
      </w:tr>
    </w:tbl>
    <w:p>
      <w:pPr>
        <w:spacing w:before="0" w:after="0"/>
      </w:pPr>
    </w:p>
    <w:p>
      <w:r>
        <w:t xml:space="preserve">Povećanje vrijednosti nefinancijske imovine kao rezultat investicija u nabavu opreme u skladu s osiguranim sredstvima osnivača.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153.733,63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251.460,55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163,6</w:t>
            </w:r>
          </w:p>
        </w:tc>
      </w:tr>
    </w:tbl>
    <w:p>
      <w:pPr>
        <w:spacing w:before="0" w:after="0"/>
      </w:pPr>
    </w:p>
    <w:p>
      <w:r>
        <w:t xml:space="preserve">Značajno povećanje zbog nabave računalne opreme, uredskog namještaja i namještaja za skupine, prvenstveno za PO Monte Zaro.</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40.994,97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52.141,22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127,2</w:t>
            </w:r>
          </w:p>
        </w:tc>
      </w:tr>
    </w:tbl>
    <w:p>
      <w:pPr>
        <w:spacing w:before="0" w:after="0"/>
      </w:pPr>
    </w:p>
    <w:p>
      <w:r>
        <w:t xml:space="preserve">Povećanje od 27% uslijed nabave klima uređaja za područne objekte.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136.770,63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214.183,71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156,6</w:t>
            </w:r>
          </w:p>
        </w:tc>
      </w:tr>
    </w:tbl>
    <w:p>
      <w:pPr>
        <w:spacing w:before="0" w:after="0"/>
      </w:pPr>
    </w:p>
    <w:p>
      <w:r>
        <w:t xml:space="preserve">Značajno povećanje uslijed zamjene dotrajale opreme sukladno osiguranim sredstvima. Nabavljeni su perilica suđa i perilica rublja, kuhinjski robot, ljuštilica krumpira, električna nagibna tava te druga kuhinjska oprema.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8.599,46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35.124,46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408,4</w:t>
            </w:r>
          </w:p>
        </w:tc>
      </w:tr>
    </w:tbl>
    <w:p>
      <w:pPr>
        <w:spacing w:before="0" w:after="0"/>
      </w:pPr>
    </w:p>
    <w:p>
      <w:r>
        <w:t xml:space="preserve">Povećanje od 408% rezultat je nabave dostavnog vozila.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136,2</w:t>
            </w:r>
          </w:p>
        </w:tc>
      </w:tr>
    </w:tbl>
    <w:p>
      <w:pPr>
        <w:spacing w:before="0" w:after="0"/>
      </w:pPr>
    </w:p>
    <w:p>
      <w:r>
        <w:t xml:space="preserve">Povećanje od 36% kao rezultat nabave računalnog programa za evidentiranje i barkodiranje nefinancijske imovine.</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više plaćene poreze i doprinose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w:t>
            </w:r>
          </w:p>
        </w:tc>
      </w:tr>
    </w:tbl>
    <w:p>
      <w:pPr>
        <w:spacing w:before="0" w:after="0"/>
      </w:pPr>
    </w:p>
    <w:p>
      <w:r>
        <w:t xml:space="preserve">Smanjenje u odnosu na početno stanje, zanemarivo u apsolutnom iznosu. U skladu s preplatom poreza na dohodak.</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270,2</w:t>
            </w:r>
          </w:p>
        </w:tc>
      </w:tr>
    </w:tbl>
    <w:p>
      <w:pPr>
        <w:spacing w:before="0" w:after="0"/>
      </w:pPr>
    </w:p>
    <w:p>
      <w:r>
        <w:t xml:space="preserve">Odnosi se na obračunati a neplaćeni račun izdan Općini Ližnjan za refundaciju troškova boravka djece za prosinac 2025.</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22.528,11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25.498,57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bl>
    <w:p>
      <w:pPr>
        <w:spacing w:before="0" w:after="0"/>
      </w:pPr>
    </w:p>
    <w:p>
      <w:r>
        <w:t xml:space="preserve">Povećanje od 13% ukazuje na veće obračunate prihode od sufinanciranja cijene usluge za prosinac 2025. u odnosu na prethodno razdoblje.</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243.162,34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333.480,72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137,1</w:t>
            </w:r>
          </w:p>
        </w:tc>
      </w:tr>
    </w:tbl>
    <w:p>
      <w:pPr>
        <w:spacing w:before="0" w:after="0"/>
      </w:pPr>
    </w:p>
    <w:p>
      <w:r>
        <w:t xml:space="preserve">Iznos se odnosi na obračunatu plaću za prosinac 2025. koja će se isplatiti u siječnju 2026. Povećanje je u skladu s izmijenjenim parametrima za obračun plaće u odnosu na 2024.</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64.438,31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35.057,95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54,4</w:t>
            </w:r>
          </w:p>
        </w:tc>
      </w:tr>
    </w:tbl>
    <w:p>
      <w:pPr>
        <w:spacing w:before="0" w:after="0"/>
      </w:pPr>
    </w:p>
    <w:p>
      <w:r>
        <w:t xml:space="preserve">Smanjenje obveza za materijalne rashode u odnosu na početno stanje. Podatak se odnosi na nadospjele obveze po neplaćenim računima za materijalne rashode na dan 31. prosinca 2025.</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179,6</w:t>
            </w:r>
          </w:p>
        </w:tc>
      </w:tr>
    </w:tbl>
    <w:p>
      <w:pPr>
        <w:spacing w:before="0" w:after="0"/>
      </w:pPr>
    </w:p>
    <w:p>
      <w:r>
        <w:t xml:space="preserve">Podatak se odnosi na nadospjele obveze po neplaćenim računima za nabavu imovine na dan 31. prosinca 2025.</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92221 do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198.212,82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269.050,99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w:t>
            </w:r>
          </w:p>
        </w:tc>
      </w:tr>
    </w:tbl>
    <w:p>
      <w:pPr>
        <w:spacing w:before="0" w:after="0"/>
      </w:pPr>
    </w:p>
    <w:p>
      <w:r>
        <w:t xml:space="preserve">Rezultat poslovanja iz obrasca PR-RAS korigiran je za kapitalne prijenose (kapitalne pomoći iz državnog proračuna u iznosu od 9.288,12 eura, prihode iz nadležnog proračuna za financiranje nabave nefinancijske imovine u iznosu od 247.845,72 eura, preneseni višak iz donacija u iznosu od 2.000,00 eura, preneseni višak iz kapitanih pomoći iz državnog proračuna u iznosu od 4.067,55 eura). Manjkovi za prijenos u 2026. iskazani su na kontima bilance 92221 (manjak prihoda poslovanja) u iznosu od 264.976,73 eura i 92222 (manjak prihoda od nefinancijske imovine) u iznosu od 4.074,26 eura.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307.620,08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368.544,26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119,8</w:t>
            </w:r>
          </w:p>
        </w:tc>
      </w:tr>
    </w:tbl>
    <w:p>
      <w:pPr>
        <w:spacing w:before="0" w:after="0"/>
      </w:pPr>
    </w:p>
    <w:p>
      <w:r>
        <w:t xml:space="preserve">Povećanje obveza za rashode poslovanja u skladu s izmijenjenim parametrima za obračun plaće u odnosu na 2024.</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24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179,6</w:t>
            </w:r>
          </w:p>
        </w:tc>
      </w:tr>
    </w:tbl>
    <w:p>
      <w:pPr>
        <w:spacing w:before="0" w:after="0"/>
      </w:pPr>
    </w:p>
    <w:p>
      <w:r>
        <w:t xml:space="preserve">Povećanje u odnosu na početno stanje je odraz većeg iznosa neplaćenih nedospjelih računa za nabavu imovine na dan 31. prosinca 2025.</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9.732,70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17.918,51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184,1</w:t>
            </w:r>
          </w:p>
        </w:tc>
      </w:tr>
    </w:tbl>
    <w:p>
      <w:pPr>
        <w:spacing w:before="0" w:after="0"/>
      </w:pPr>
    </w:p>
    <w:p>
      <w:r>
        <w:t xml:space="preserve">Podatak ukazuje na veće isplate naknada za bolovanje na teret HZZO-a. S obzirom da su isplaćene iz izvora općih prihoda i primitaka, iskazana je obveza za povrat u nadležni proračun.</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3.467.786,47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4.393.066,71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w:t>
            </w:r>
          </w:p>
        </w:tc>
      </w:tr>
    </w:tbl>
    <w:p>
      <w:pPr>
        <w:spacing w:before="0" w:after="0"/>
      </w:pPr>
    </w:p>
    <w:p>
      <w:r>
        <w:t xml:space="preserve">S obzirom da u podatak ulaze rashodi za zaposlene te da su isti za 20% veći u odnosu na prethodno razdoblje, upravo su isti uzrok njegovog značajnijeg povećanja.</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158.920,81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176.310,45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110,9</w:t>
            </w:r>
          </w:p>
        </w:tc>
      </w:tr>
    </w:tbl>
    <w:p>
      <w:pPr>
        <w:spacing w:before="0" w:after="0"/>
      </w:pPr>
    </w:p>
    <w:p>
      <w:r>
        <w:t xml:space="preserve">Povećanje od 10% odraz je povećanja rashoda za prehranu djece zbog povećanja cijene namirnica i povećanja broja djece.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72.102,40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proizvedene dugotrajne imovine uzrokovano je obračunom ispravka vrijednosti imovine po propisanim stopama.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Greška u validaciji obrasca. Podatak je zbroj šifri V008+D23+D24 + 'D dio 25,26' + D27 i iznosi 0,00 eura.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i smanjenje međusobnih obveza subjekata općeg proračuna iznose 9.413,06 eura a sastoje se od obveza prema Ministarstvu obrane RH u iznosu od 553,55 eura, obveza prema Gradu Puli u iznosu od 1.392,29 eura te obveza prema Nastavnom zavodu za javno zdravstvo IŽ u iznosu od 7.467,22. Obveze su uredno podmirene te je stanje na kraju godine 0,00 eura.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1b8e032608f4432" /></Relationships>
</file>