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c96cb64ddb24b1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49544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"Mali svijet"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3.420.242,21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4.498.538,99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3.468.606,89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4.303.097,91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195.441,08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158.100,39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266.279,25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158.100,39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266.279,25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206.465,07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70.838,17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w:t>
            </w:r>
          </w:p>
        </w:tc>
      </w:tr>
    </w:tbl>
    <w:p>
      <w:pPr>
        <w:spacing w:before="0" w:after="0"/>
      </w:pPr>
    </w:p>
    <w:p>
      <w:r>
        <w:t xml:space="preserve">Dječji vrtić Mali svijet je u razdoblju od 01. siječnja 2025. do 31. prosinca 2025. ostvario ukupan prihod poslovanja u iznosu od 4.498.538,99 eura (prihodi iz državnog proračuna 34.669,50 eura, prihodi iz županijskog proračuna 1.000,00 eura, prihodi iz općinskih proračuna 16.614,30 eura, sufinanciranja cijene usluge 440.861,26 eura, prihodi od pruženih usluga 83.351,70 eura, prihodi iz nadležnog proračuna 3.896.003,23 eura, ostali prihodi 1.871,00 eura, donacije 10.000,00 eura, prihodi od naknada šteta s osnova osiguranja 14.168,00 eura), rashode poslovanja u iznosu od 4.303.097,91 eura (rashodi za zaposlene 3.476.004,19 eura, materijalni rashodi 827.082,15 eura, financijski rashodi 11,57 eura) te rashode za nabavu nefinancijske imovine u iznosu od 266.279,25 eura (rashodi za nabavu proizvedene dugotrajne imovine 214.571,25 eura, rashodi za dodatna ulaganja na nefinancijskoj imovini 51.708,00 eura).  Manjak prihoda i primitaka iznosi 70.838,17 eura, preneseni manjak prihoda i primitaka iz 2024. godine iznosi 198.212,82 eura. Manjak prihoda i primitaka za pokriće u idućem razdoblju iznosi 269.050,99 eura. Manjak prihoda i primitaka odnosi se na metodološki manjak, koji će se pokriti isplatom plaće za prosinac 2025. u siječnju 2026.</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w:t>
            </w:r>
          </w:p>
        </w:tc>
      </w:tr>
    </w:tbl>
    <w:p>
      <w:pPr>
        <w:spacing w:before="0" w:after="0"/>
      </w:pPr>
    </w:p>
    <w:p>
      <w:r>
        <w:t xml:space="preserve">Ostvarenje za 20% manje u odnosu na prethodno razdoblje, kao odraz utroška većeg dijela pomoći iz državnog proračuna (za darovitu djecu, djecu manjine, djecu s teškoćama u integraciji i predškolu) na nabavu nefinancijske imovine.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75.385,66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83.351,70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Prihodi od pruženih usluga veći su za 11% u odnosu na 2024. Dječji vrtić Mali svijet kuha za privatne vrtiće. U ožujku 2024. godine povećana je cijena obroka sa 2,12 eura na 2,70 eura, te je povrh toga u 2025. isporučeno više obroka.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Iznos se odnosi na donaciju osiguravajućeg društva Adriatic osiguranje d.d. u iznosu od 10.000,00 eura, što predstavlja višestruko veće ostvarenje u odnosu na 2024.</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2.680.994,78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3.648.157,51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Povećanje od 36% zbog povećanja osnovice za obračun plaće najprije s 774,74 eura na 947,18 eura u rujnu 2024. te na 1.004,87 eura od 1. rujna 2025. Dodatno, uz povećanje sredstava za režijske troškove zbog porasta opće razine cijena, od osnivača su osigurana sredstva za tekuće i investicijsko održavanje novih objekata kao i sredstva za najam istih te je povećan broj djece koja imaju pravo na socijalni program.</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141.144,11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247.845,72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w:t>
            </w:r>
          </w:p>
        </w:tc>
      </w:tr>
    </w:tbl>
    <w:p>
      <w:pPr>
        <w:spacing w:before="0" w:after="0"/>
      </w:pPr>
    </w:p>
    <w:p>
      <w:r>
        <w:t xml:space="preserve">Za 75% veće ostvarenje u odnosu na prethodno razdoblje kao odraz osiguranih sredstava za nabavu namještaja, računala i računalne opreme, perilice posuđa, ljuštilice krumpira, kosilice, klima uređaja, sustava videonadzora i dostavnog vozila.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2.895.516,02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3.476.004,19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Povećanje od 36% zbog povećanja osnovice za obračun plaće najprije s 774,74 eura na 947,18 eura u rujnu 2024. te na 1.004,87 eura od 1. rujna 2025., korekcije koeficijenata složenosti poslova te povećanja broja zaposlenih sa 133 na 138.</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Službena putovanja veća za 17% kao odraz odlaska radnika na stručna usavršavanja u većem obujmu u odnosu na prethodno razdoblje.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Povećanje od 16%, što odgovara postotku povećanja stavke službenih putovanja, a odnosi se na kotizacije za usavršavanja radnika ustanove.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32.328,23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36.180,34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Povećanje od 12% odnosi se gotovo u cijelosti na povećanu nabavu materijala za čišćenje zbog otvaranja novih skupina.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195.778,02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Za 14% veće ostvarenje zbog porasta razine cijena i većeg broja obroka u odnosu na prethodno izvještajno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w:t>
            </w:r>
          </w:p>
        </w:tc>
      </w:tr>
    </w:tbl>
    <w:p>
      <w:pPr>
        <w:spacing w:before="0" w:after="0"/>
      </w:pPr>
    </w:p>
    <w:p>
      <w:r>
        <w:t xml:space="preserve">Povećanje od 28% zbog povećanja cijene električne energije te nabave veće količine lož ulja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Bilježe kontinuirani rast (18% u izvještajnom razdoblju) zbog dotrajalosti objekata i opreme.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Za 19% manje ostvarenje kao odraz manjih potreba za zamjenu dotrajalih stavki sitnog inventara.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Povećanje od 32% u skladu s nabavom radne i zaštitne odjeće i obuće u skladu s propisima zaštite na radu.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Povećanje od 15% zbog realiziranih usluga prijevoza koje nisu zabilježene u prethodnom razdoblju.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73.708,26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242.461,01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328,9</w:t>
            </w:r>
          </w:p>
        </w:tc>
      </w:tr>
    </w:tbl>
    <w:p>
      <w:pPr>
        <w:spacing w:before="0" w:after="0"/>
      </w:pPr>
    </w:p>
    <w:p>
      <w:r>
        <w:t xml:space="preserve">Višestruko veće ostvarenje u odnosu na prethodnu godinu ukazuje na osigurana sredstva za tekuće i investicijsko održavanje dotrajalih objekata. Od značajnijih intervencija mogu se navesti sanacija podne obloge u PO Veruda, uređenje pomoćnih prostora i obnova podne obloge PO Monte Zaro te sanacija pojedinih prostorija u drugim područnim objektima.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486,7</w:t>
            </w:r>
          </w:p>
        </w:tc>
      </w:tr>
    </w:tbl>
    <w:p>
      <w:pPr>
        <w:spacing w:before="0" w:after="0"/>
      </w:pPr>
    </w:p>
    <w:p>
      <w:r>
        <w:t xml:space="preserve">Višestruko veće ostvarenje zbog zakupa novih objekata (PO Krijesnice i PO Medvjedići).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w:t>
            </w:r>
          </w:p>
        </w:tc>
      </w:tr>
    </w:tbl>
    <w:p>
      <w:pPr>
        <w:spacing w:before="0" w:after="0"/>
      </w:pPr>
    </w:p>
    <w:p>
      <w:r>
        <w:t xml:space="preserve">Za trećinu manje ostvarenje zbog isplaćenih ugovora o djelu prethodne godine. U izvještajnoj godini nisu zabilježene isplate po toj osnovi.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r>
    </w:tbl>
    <w:p>
      <w:pPr>
        <w:spacing w:before="0" w:after="0"/>
      </w:pPr>
    </w:p>
    <w:p>
      <w:r>
        <w:t xml:space="preserve">Prepolovljeno ostvarenje, zanemarivo u apsolutnom iznosu.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33.856,22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r>
        <w:t xml:space="preserve">Povećanje od 27% kao odraz troškova ispitivanja radne opreme i analize vode za ljudsku potrošnju po objektima.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29.515,67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Povećanje od 12% u odnosu na prethodnu godinu kada, zbog promjene osiguravatelja u 2024., nisu fakturirane premije za siječanj i veljaču.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Povećanje od 20% odnosi se gotovo u cijelosti na obračunate prihode od sufinanciranja cijene usluge za prosinac 2025.</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97.726,92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w:t>
            </w:r>
          </w:p>
        </w:tc>
      </w:tr>
    </w:tbl>
    <w:p>
      <w:pPr>
        <w:spacing w:before="0" w:after="0"/>
      </w:pPr>
    </w:p>
    <w:p>
      <w:r>
        <w:t xml:space="preserve">Povećanje od 69% kao odraz osiguranih sredstava osnivača za nabavu uredske opreme i namještaja, prvenstveno za PO Monte Zaro.</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w:t>
            </w:r>
          </w:p>
        </w:tc>
      </w:tr>
    </w:tbl>
    <w:p>
      <w:pPr>
        <w:spacing w:before="0" w:after="0"/>
      </w:pPr>
    </w:p>
    <w:p>
      <w:r>
        <w:t xml:space="preserve">Povećanje od 74% u odnosu na 2024. zbog nabave klima uređaja za područne objekte.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964,7</w:t>
            </w:r>
          </w:p>
        </w:tc>
      </w:tr>
    </w:tbl>
    <w:p>
      <w:pPr>
        <w:spacing w:before="0" w:after="0"/>
      </w:pPr>
    </w:p>
    <w:p>
      <w:r>
        <w:t xml:space="preserve">Višestruko veće ostvarenje zbog zamjene dotrajale opreme sukladno osiguranim sredstvima. Nabavljeni su perilica suđa i perilica rublja, kuhinjski robot, ljuštilica krumpira, električna nagibna tava te druga kuhinjska oprema.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nabavu dostavnog vozila za potrebe dostave hrane.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odnosu na nabavu računalnog programa za evidentiranje i barkodiranje nefinancijske imovine.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za ostalu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72.158,63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w:t>
            </w:r>
          </w:p>
        </w:tc>
      </w:tr>
    </w:tbl>
    <w:p>
      <w:pPr>
        <w:spacing w:before="0" w:after="0"/>
      </w:pPr>
    </w:p>
    <w:p>
      <w:r>
        <w:t xml:space="preserve">Dodatna ulaganja u nefinancijsku imovinu bilježe ostvarenje od 72% u odnosu na prethodno razdoblje. Odnose se na projektnu dokumentacija za PO Medvjediće, sanaciju plamenika u kotlovnici PO Monte Zaro, sanaciju konzola PO Monte Zaro te sanaciju krova PO Veruda.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Manjak prihoda i primitaka za prijenos u 2026. iznosi 269.050,99 eura a nastao je zbog tehnike knjiženja poslovnih promjena prema odredbama Pravilnika o proračunskom računovodstvu i računskom planu. Plaća za prosinac 2025. knjižena je kao rashod na dan 31. prosinca 2025., ali, s obzirom da se isplaćuje na teret izvora općih prihoda i primitaka, prihod je priznat tek 15. siječnja 2026. prilikom isplate iste. Ista predstavlja metodološki manjak iz općih prihoda i primitaka. Stvarni višak raspoloživ u 2026. iznosit će 31.906,57 eura te se sastoji od viška prihoda od pruženih usluga u iznosu od 6.812,33 eura, viška od pomoći iz državnog proračuna u iznosu od 7.081,38 eura, viška prihoda od donacija u iznosu od 10.000,00 eura te viška prihoda od naknada šteta s osnova osiguranja u iznosu od 8.012,86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w:t>
            </w:r>
          </w:p>
        </w:tc>
      </w:tr>
    </w:tbl>
    <w:p>
      <w:pPr>
        <w:spacing w:before="0" w:after="0"/>
      </w:pPr>
    </w:p>
    <w:p>
      <w:pPr>
        <w:jc w:val="left"/>
      </w:pPr>
      <w:r>
        <w:t xml:space="preserve">Zanemarivo ostvarenje, višestruko manje od prethodnog razdoblja, zbog manjeg obujma gotovinskog poslovanja i ukidanja gotovinske blagajne tijekom 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w:t>
            </w:r>
          </w:p>
        </w:tc>
      </w:tr>
    </w:tbl>
    <w:p>
      <w:pPr>
        <w:spacing w:before="0" w:after="0"/>
      </w:pPr>
    </w:p>
    <w:p>
      <w:r>
        <w:t xml:space="preserve">Zanemarivo ostvarenje, višestruko manje od prethodnog razdoblja, zbog manjeg obujma gotovinskog poslovanja i ukidanja gotovinske blagajne tijekom 2025.</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1.431.092,70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1.626.152,42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Povećanje vrijednosti nefinancijske imovine kao rezultat investicija u nabavu opreme u skladu s osiguranim sredstvima osnivača.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153.733,63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251.460,55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w:t>
            </w:r>
          </w:p>
        </w:tc>
      </w:tr>
    </w:tbl>
    <w:p>
      <w:pPr>
        <w:spacing w:before="0" w:after="0"/>
      </w:pPr>
    </w:p>
    <w:p>
      <w:r>
        <w:t xml:space="preserve">Značajno povećanje zbog nabave računalne opreme, uredskog namještaja i namještaja za skupine, prvenstveno za PO Monte Zaro.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40.994,97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52.141,22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Povećanje od 27% uslijed nabave klima uređaja za područne objekte.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136.770,63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214.183,71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w:t>
            </w:r>
          </w:p>
        </w:tc>
      </w:tr>
    </w:tbl>
    <w:p>
      <w:pPr>
        <w:spacing w:before="0" w:after="0"/>
      </w:pPr>
    </w:p>
    <w:p>
      <w:r>
        <w:t xml:space="preserve">Značajno povećanje uslijed zamjene dotrajale opreme sukladno osiguranim sredstvima. Nabavljeni su perilica suđa i perilica rublja, kuhinjski robot, ljuštilica krumpira, električna nagibna tava te druga kuhinjska oprema.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408,4</w:t>
            </w:r>
          </w:p>
        </w:tc>
      </w:tr>
    </w:tbl>
    <w:p>
      <w:pPr>
        <w:spacing w:before="0" w:after="0"/>
      </w:pPr>
    </w:p>
    <w:p>
      <w:r>
        <w:t xml:space="preserve">Povećanje od 408% rezultat je nabave dostavnog vozila.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bl>
    <w:p>
      <w:pPr>
        <w:spacing w:before="0" w:after="0"/>
      </w:pPr>
    </w:p>
    <w:p>
      <w:r>
        <w:t xml:space="preserve">Povećanje od 36% kao rezultat nabave računalnog programa za evidentiranje i barkodiranje nefinancijske imovine.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w:t>
            </w:r>
          </w:p>
        </w:tc>
      </w:tr>
    </w:tbl>
    <w:p>
      <w:pPr>
        <w:spacing w:before="0" w:after="0"/>
      </w:pPr>
    </w:p>
    <w:p>
      <w:r>
        <w:t xml:space="preserve">Smanjenje u odnosu na početno stanje, zanemarivo u apsolutnom iznosu. U skladu s preplatom poreza na dohodak.</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270,2</w:t>
            </w:r>
          </w:p>
        </w:tc>
      </w:tr>
    </w:tbl>
    <w:p>
      <w:pPr>
        <w:spacing w:before="0" w:after="0"/>
      </w:pPr>
    </w:p>
    <w:p>
      <w:r>
        <w:t xml:space="preserve">Odnosi se na obračunati a neplaćeni račun izdan Općini Ližnjan za refundaciju troškova boravka djece za prosinac 2025.</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22.528,11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25.352,02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Povećanje od 12% ukazuje na veće obračunate prihode od sufinanciranja cijene usluge za prosinac 2025. u odnosu na prethodno razdoblje.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243.162,34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327.828,12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r>
        <w:t xml:space="preserve">Iznos se odnosi na obračunatu plaću za prosinac 2025. koja će se isplatiti u siječnju 2026. Povećanje je u skladu s imijenjenim parametrima za obračun plaće u odnosu na 2024.</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40.710,55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w:t>
            </w:r>
          </w:p>
        </w:tc>
      </w:tr>
    </w:tbl>
    <w:p>
      <w:pPr>
        <w:spacing w:before="0" w:after="0"/>
      </w:pPr>
    </w:p>
    <w:p>
      <w:r>
        <w:t xml:space="preserve">Smanjenje obveza za materijalne rashode u odnosu na početno stanje. Podatak se odnosi na nadospjele obveze po neplaćenim računima za materijalne rashode na dan 31. prosinca 2025.</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r>
        <w:t xml:space="preserve">Podatak se odnosi na nadospjele obveze po neplaćenim računima za nabavu imovine na dan 31. prosinca 2025.</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Rezultat poslovanja iz obrasca PR-RAS korigiran je za kapitalne prijenose (kapitalne pomoći iz državnog proračuna u iznosu od 9.288,12 eura, prihode iz nadležnog proračuna za financiranje nabave nefinancijske imovine u iznosu od 247.845,72 eura, preneseni višak iz donacija u iznosu od 2.000,00 eura, preneseni višak iz kapitanih pomoći iz državnog proračuna u iznosu od 4.067,55 eura). Manjkovi za prijenos u 2026. iskazani su na kontima bilance 92221 (manjak prihoda poslovanja) u iznosu od 264.976,73 eura i 92222 (manjak prihoda od nefinancijske imovine) u iznosu od 4.074,26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307.620,08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368.544,26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Povećanje obveza za rashode poslovanja u skladu s izmijenjenim parametrima za obračun plaće u odnosu na 2024.</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r>
        <w:t xml:space="preserve">Povećanje u odnosu na početno stanje je odraz većeg iznosa neplaćenih nedospjelih računa za nabavu imovine na dan 31. prosinca 2025.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w:t>
            </w:r>
          </w:p>
        </w:tc>
      </w:tr>
    </w:tbl>
    <w:p>
      <w:pPr>
        <w:spacing w:before="0" w:after="0"/>
      </w:pPr>
    </w:p>
    <w:p>
      <w:r>
        <w:t xml:space="preserve">Podatak ukazuje na veće isplate naknada za bolovanje na teret HZZO-a. S obzirom da su isplaćene iz izvora općih prihoda i primitaka, iskazana je obveza za povrat u nadležni proračun.</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3.467.786,47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4.393.066,71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r>
        <w:t xml:space="preserve">S obzirom da u podatak ulaze rashodi za zaposlene te da su isti za 20% veći u odnosu na prethodno razdoblje, upravo su isti uzrok njegovog značajnijeg povećanja.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158.920,81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176.310,45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Povećanje od 10% odraz je povećanja rashoda za prehranu djece zbog povećanja cijene namirnica i povećanja broja djece.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72.102,40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proizvedene dugotrajne imovine uzrokovano je obračunom ispravka vrijednosti imovine po propisanim stopama.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Greška u validaciji obrasca. Podatak je zbroj šifri V008+D23+D24 + 'D dio 25,26' + D27 i iznosi 0,00 eura.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i smanjenje međusobnih obveza subjekata općeg proračuna iznose 9.413,06 eura a sastoje se od obveza prema Ministarstvu obrane RH u iznosu od 553,55 eura, obveza prema Gradu Puli u iznosu od 1.392,29 eura te obveza prema Nastavnom zavodu za javno zdravstvo IŽ u iznosu od 7.467,22. Obveze su uredno podmirene te je stanje na kraju godine 0,00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6cf03e28c8f4b0d" /></Relationships>
</file>